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-Grade _______6_____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Dana Burrow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February 20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Blue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Dogs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Flair Pens, Papermate Inkjoy Pens, Colorful Expo Markers, Mr. Sketch Markers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Reese’s Peanut Butter Cups, Peanut m&amp;m’s, Twix, Snickers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Trail Mix, Wheat Thins, Goldfish, Cheese-its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Diet Coke, Diet Dr. Pepper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Jimmy John’s, McDonald’s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Spin!, Waldo Pizza, Houlihan’s Jose Peppers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MU, KC Royals, Chiefs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No specific author; Enjoy reading whatever the current “best-sellers” are for kids and/or adults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Amazon, Target, Kirklands, Kohl’s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reading, playing with my kids, jigsaw puzzles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fruity candle smells/tulips, hydrangea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fruity smells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none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 </w:t>
      </w:r>
      <w:r w:rsidDel="00000000" w:rsidR="00000000" w:rsidRPr="00000000">
        <w:rPr>
          <w:sz w:val="36"/>
          <w:szCs w:val="36"/>
          <w:rtl w:val="0"/>
        </w:rPr>
        <w:t xml:space="preserve">We love hanging out as a family-going to the movies, fishing, playing games, etc!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